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  <w:t>铜陵市利业劳动保障事务代理中心关于</w:t>
      </w:r>
      <w:r>
        <w:rPr>
          <w:rFonts w:hint="default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eastAsia="zh-CN"/>
        </w:rPr>
        <w:t>2022年铜陵</w:t>
      </w: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  <w:t>老年大学</w:t>
      </w:r>
    </w:p>
    <w:p>
      <w:pPr>
        <w:keepNext w:val="0"/>
        <w:keepLines w:val="0"/>
        <w:pageBreakBefore w:val="0"/>
        <w:widowControl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default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  <w:t>工作人员</w:t>
      </w:r>
      <w:r>
        <w:rPr>
          <w:rFonts w:hint="default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eastAsia="zh-CN"/>
        </w:rPr>
        <w:t>特</w:t>
      </w: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  <w:t>设</w:t>
      </w:r>
      <w:r>
        <w:rPr>
          <w:rFonts w:hint="default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eastAsia="zh-CN"/>
        </w:rPr>
        <w:t>岗位</w:t>
      </w: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eastAsia="zh-CN"/>
        </w:rPr>
        <w:t>招聘</w:t>
      </w:r>
      <w:r>
        <w:rPr>
          <w:rFonts w:hint="eastAsia" w:ascii="仿宋_GB2312" w:hAnsi="仿宋_GB2312" w:eastAsia="仿宋_GB2312"/>
          <w:b/>
          <w:bCs/>
          <w:i w:val="0"/>
          <w:snapToGrid/>
          <w:color w:val="000000"/>
          <w:sz w:val="30"/>
          <w:szCs w:val="30"/>
          <w:shd w:val="clear" w:color="auto" w:fill="FFFFFF"/>
          <w:lang w:val="en-US" w:eastAsia="zh-CN"/>
        </w:rPr>
        <w:t>考试疫情防控承诺书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本人承诺以下内容真实有效：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内未接触过来自境外及疫情中高风险区的人员，未往返过上述地区；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内所在小区无确诊或疑似新型冠状病毒肺炎患者；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未接触过确诊或疑似新型冠状病毒肺炎患者；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14天</w:t>
      </w:r>
      <w:r>
        <w:rPr>
          <w:rFonts w:hint="eastAsia" w:ascii="仿宋" w:hAnsi="仿宋" w:eastAsia="仿宋"/>
          <w:sz w:val="32"/>
          <w:szCs w:val="32"/>
        </w:rPr>
        <w:t>内家庭、单位等小范围内未有过聚集性发热和/或呼吸道症状病例；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本人承诺考试前如有以上情况，第一时间向利业中心报告并放弃参加本次考试。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在考试期间出现发热、咳嗽等症状，应立即主动向考点工作人员报告。如有不如实报告健康状况、不配合开展卫生防疫工作等情形的，造成严重后果的，将根据相关法律法规追究责任。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6"/>
        <w:textAlignment w:val="auto"/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 w:bidi="ar-SA"/>
        </w:rPr>
        <w:t>考试将进行体温检测，全程佩戴口罩。安康码和行程码均为绿码方可参加考试，无身份证、准考证，考试当天无法提供48小时内核酸检测结果阴性证明、体温超过37.3℃及红码、黄码人员不得参加考试。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79" w:firstLineChars="130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160" w:firstLineChars="1300"/>
        <w:textAlignment w:val="auto"/>
      </w:pPr>
      <w:r>
        <w:rPr>
          <w:rFonts w:hint="eastAsia" w:ascii="仿宋" w:hAnsi="仿宋" w:eastAsia="仿宋"/>
          <w:sz w:val="32"/>
          <w:szCs w:val="32"/>
        </w:rPr>
        <w:t>时  间：   年   月   日</w:t>
      </w:r>
    </w:p>
    <w:sectPr>
      <w:pgSz w:w="11906" w:h="16838"/>
      <w:pgMar w:top="1440" w:right="1803" w:bottom="896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97760"/>
    <w:rsid w:val="24B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2022-09-20T09:07:00Z</dcterms:created>
  <dc:creator>rayta</dc:creator>
  <cp:lastModifiedBy>rayta</cp:lastModifiedBy>
  <dcterms:modified xsi:type="dcterms:W3CDTF">2022-09-20T09:08:02Z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